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before="63" w:after="0"/>
        <w:ind w:left="0" w:right="-113" w:hanging="0"/>
        <w:jc w:val="center"/>
        <w:rPr>
          <w:rFonts w:ascii="Bookman Old Style" w:hAnsi="Bookman Old Style"/>
          <w:sz w:val="24"/>
          <w:szCs w:val="24"/>
        </w:rPr>
      </w:pPr>
      <w:r>
        <w:rPr>
          <w:rFonts w:cs="Arial" w:ascii="Bookman Old Style" w:hAnsi="Bookman Old Styl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60" w:right="1694" w:gutter="0" w:header="0" w:top="660" w:footer="1484" w:bottom="16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widowControl w:val="false"/>
        <w:suppressAutoHyphens w:val="true"/>
        <w:bidi w:val="0"/>
        <w:spacing w:before="60" w:after="0"/>
        <w:ind w:left="0" w:right="0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ESTUDOS TÉCNICOS PRELIMINARES – ETP SIMPLIFICADO</w:t>
      </w:r>
    </w:p>
    <w:p>
      <w:pPr>
        <w:pStyle w:val="Normal"/>
        <w:spacing w:before="60" w:after="0"/>
        <w:ind w:left="567" w:right="1168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60" w:after="0"/>
        <w:ind w:right="-26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O presente documento visa analisar a viabilidade da contratação, bem como levantar elementos essenciais que servirão para compor o Termo de Referência,</w:t>
      </w:r>
      <w:r>
        <w:rPr>
          <w:rFonts w:ascii="Verdana" w:hAnsi="Verdana"/>
          <w:color w:val="auto"/>
          <w:sz w:val="20"/>
          <w:szCs w:val="20"/>
        </w:rPr>
        <w:t xml:space="preserve"> o Anteprojeto ou</w:t>
      </w:r>
      <w:r>
        <w:rPr>
          <w:rFonts w:ascii="Verdana" w:hAnsi="Verdana"/>
          <w:color w:val="000000"/>
          <w:sz w:val="20"/>
          <w:szCs w:val="20"/>
        </w:rPr>
        <w:t xml:space="preserve"> Projeto Básico, de forma a melhor atender às necessidades da Administração na presente contratação direta.</w:t>
      </w:r>
    </w:p>
    <w:tbl>
      <w:tblPr>
        <w:tblStyle w:val="Tabelacomgrade"/>
        <w:tblpPr w:bottomFromText="0" w:horzAnchor="margin" w:leftFromText="141" w:rightFromText="141" w:tblpX="0" w:tblpXSpec="center" w:tblpY="452" w:topFromText="0" w:vertAnchor="text"/>
        <w:tblW w:w="9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0"/>
        <w:gridCol w:w="314"/>
        <w:gridCol w:w="5008"/>
      </w:tblGrid>
      <w:tr>
        <w:trPr>
          <w:trHeight w:val="748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SD Nº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748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OBJETO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628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UNIDADE (S) ATENDIDA (S) PELA SD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1289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VIGÊNCIA DA CONTRATAÇÃO: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 ) 6 MESES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 ) 12 MESES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 ) OUTRA:_____________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cs="Arial" w:ascii="Bookman Old Style" w:hAnsi="Bookman Old Style"/>
                <w:highlight w:val="white"/>
              </w:rPr>
            </w:r>
          </w:p>
        </w:tc>
      </w:tr>
    </w:tbl>
    <w:p>
      <w:pPr>
        <w:pStyle w:val="Normal"/>
        <w:spacing w:before="60" w:after="0"/>
        <w:ind w:left="541" w:right="1192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pacing w:before="1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W w:w="88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19"/>
      </w:tblGrid>
      <w:tr>
        <w:trPr/>
        <w:tc>
          <w:tcPr>
            <w:tcW w:w="8819" w:type="dxa"/>
            <w:tcBorders/>
            <w:shd w:color="auto" w:fill="D9D9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0"/>
              <w:ind w:left="0" w:hanging="0"/>
              <w:contextualSpacing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DO RELATÓRIO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Verdana" w:hAnsi="Verdana"/>
          <w:b/>
          <w:sz w:val="20"/>
          <w:szCs w:val="20"/>
        </w:rPr>
        <w:t>1.1 Legislação Específica para o Objeto:</w:t>
      </w:r>
    </w:p>
    <w:p>
      <w:pPr>
        <w:pStyle w:val="Normal"/>
        <w:tabs>
          <w:tab w:val="clear" w:pos="720"/>
          <w:tab w:val="left" w:pos="1701" w:leader="none"/>
        </w:tabs>
        <w:spacing w:before="0" w:after="120"/>
        <w:jc w:val="both"/>
        <w:rPr>
          <w:rFonts w:ascii="Bookman Old Style" w:hAnsi="Bookman Old Style" w:cs="Cambria" w:cstheme="minorHAnsi"/>
          <w:b/>
          <w:b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)</w:t>
      </w:r>
      <w:r>
        <w:rPr>
          <w:rFonts w:cs="Cambria" w:ascii="Verdana" w:hAnsi="Verdana" w:cstheme="minorHAnsi"/>
          <w:b/>
          <w:sz w:val="20"/>
          <w:szCs w:val="20"/>
        </w:rPr>
        <w:t xml:space="preserve"> </w:t>
      </w:r>
      <w:r>
        <w:rPr>
          <w:rFonts w:cs="Cambria" w:ascii="Verdana" w:hAnsi="Verdana" w:cstheme="minorHAnsi"/>
          <w:sz w:val="20"/>
          <w:szCs w:val="20"/>
        </w:rPr>
        <w:t>A SD não indicou e esta equipe não localizou nos estudos, nenhum normativo referente ao objeto estudado.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 ) Foram localizados os seguintes normativos acerca do objeto estudado, e estes estão sendo considerados no presente estudo: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1.2 Licitação Anterior: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 ) O objeto estudado não foi adquirido pelo município nos últimos anos, não constando em nossos arquivos licitação anterior cujas informações possam subsidiar o presente estudo.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>(   ) O objeto estudado foi adquirido anteriormente através do processo nº _______________, Modalidade nº _______________, sem nenhuma observação pontual sobre a execução do contrato, servindo o quantitativo e o valor da contratação de subsídio para o presente estudo.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>(   ) O objeto estudado foi adquirido anteriormente através do processo nº _______________, Modalidade nº _______________, servindo o quantitativo e o valor da contratação de subsídio para o presente estudo e merecendo destaque os pontos abaixo descritos: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1.3 Frota a Ser Atendida: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 xml:space="preserve">(  ) O objeto ora estudado </w:t>
      </w:r>
      <w:r>
        <w:rPr>
          <w:rFonts w:cs="Cambria" w:ascii="Verdana" w:hAnsi="Verdana" w:cstheme="minorHAnsi"/>
          <w:b/>
          <w:bCs/>
          <w:sz w:val="20"/>
          <w:szCs w:val="20"/>
        </w:rPr>
        <w:t>tem relação com a frota de veículos</w:t>
      </w:r>
      <w:r>
        <w:rPr>
          <w:rFonts w:cs="Cambria" w:ascii="Verdana" w:hAnsi="Verdana" w:cstheme="minorHAnsi"/>
          <w:bCs/>
          <w:sz w:val="20"/>
          <w:szCs w:val="20"/>
        </w:rPr>
        <w:t>, sendo considerada a</w:t>
      </w:r>
      <w:r>
        <w:rPr>
          <w:rFonts w:cs="Cambria" w:ascii="Verdana" w:hAnsi="Verdana" w:cstheme="minorHAnsi"/>
          <w:b/>
          <w:sz w:val="20"/>
          <w:szCs w:val="20"/>
        </w:rPr>
        <w:t xml:space="preserve"> relação atualizada</w:t>
      </w:r>
      <w:r>
        <w:rPr>
          <w:rFonts w:cs="Cambria" w:ascii="Verdana" w:hAnsi="Verdana" w:cstheme="minorHAnsi"/>
          <w:sz w:val="20"/>
          <w:szCs w:val="20"/>
        </w:rPr>
        <w:t xml:space="preserve"> anexa.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  <w:u w:val="single"/>
        </w:rPr>
      </w:pPr>
      <w:r>
        <w:rPr>
          <w:rFonts w:cs="Cambria" w:ascii="Verdana" w:hAnsi="Verdana" w:cstheme="minorHAnsi"/>
          <w:sz w:val="20"/>
          <w:szCs w:val="20"/>
        </w:rPr>
        <w:t xml:space="preserve">(    ) O objeto ora estudado </w:t>
      </w:r>
      <w:r>
        <w:rPr>
          <w:rFonts w:cs="Cambria" w:ascii="Verdana" w:hAnsi="Verdana" w:cstheme="minorHAnsi"/>
          <w:sz w:val="20"/>
          <w:szCs w:val="20"/>
          <w:u w:val="single"/>
        </w:rPr>
        <w:t>não tem relação com a frota de veículos.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0" w:after="120"/>
        <w:jc w:val="both"/>
        <w:rPr>
          <w:rFonts w:ascii="Bookman Old Style" w:hAnsi="Bookman Old Style" w:cs="Cambria" w:cstheme="minorHAnsi"/>
          <w:b/>
          <w:b/>
          <w:sz w:val="24"/>
          <w:szCs w:val="24"/>
        </w:rPr>
      </w:pPr>
      <w:r>
        <w:rPr>
          <w:rFonts w:cs="Arial" w:ascii="Verdana" w:hAnsi="Verdana"/>
          <w:b/>
          <w:sz w:val="20"/>
          <w:szCs w:val="20"/>
        </w:rPr>
        <w:t>1.4</w:t>
      </w:r>
      <w:r>
        <w:rPr>
          <w:rFonts w:cs="Cambria" w:ascii="Verdana" w:hAnsi="Verdana" w:cstheme="minorHAnsi"/>
          <w:b/>
          <w:sz w:val="20"/>
          <w:szCs w:val="20"/>
        </w:rPr>
        <w:t xml:space="preserve"> Necessidade de Consolidação da Demanda para Toda a Estrutura: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>( ) Após a Solicitação da Demanda verificou-se a necessidade de consolidação da demanda para outras unidades da estrutura e constam as SDs respectivas em anexo.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) Após</w:t>
      </w:r>
      <w:r>
        <w:rPr>
          <w:rFonts w:cs="Cambria" w:ascii="Verdana" w:hAnsi="Verdana" w:cstheme="minorHAnsi"/>
          <w:bCs/>
          <w:sz w:val="20"/>
          <w:szCs w:val="20"/>
        </w:rPr>
        <w:t xml:space="preserve"> a Solicitação da Demanda verificou-se que o objeto solicitado é específico da Secretaria Demandante e a aquisição não requer consolidação.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cstheme="minorHAnsi" w:ascii="Bookman Old Style" w:hAnsi="Bookman Old Style"/>
          <w:bCs/>
          <w:sz w:val="24"/>
          <w:szCs w:val="24"/>
        </w:rPr>
      </w:r>
    </w:p>
    <w:p>
      <w:pPr>
        <w:pStyle w:val="Contedodatabela"/>
        <w:jc w:val="both"/>
        <w:rPr>
          <w:rFonts w:ascii="Bookman Old Style" w:hAnsi="Bookman Old Style" w:eastAsia="Cambria" w:cs="Cambria" w:cstheme="minorHAnsi" w:eastAsiaTheme="minorHAnsi"/>
          <w:b/>
          <w:b/>
          <w:lang w:eastAsia="en-US"/>
        </w:rPr>
      </w:pPr>
      <w:r>
        <w:rPr>
          <w:rFonts w:eastAsia="Cambria" w:cs="Cambria" w:ascii="Verdana" w:hAnsi="Verdana" w:cstheme="minorHAnsi" w:eastAsiaTheme="minorHAnsi"/>
          <w:b/>
          <w:lang w:eastAsia="en-US"/>
        </w:rPr>
        <w:t>1.5. Fundamento da Contratação:</w:t>
      </w:r>
    </w:p>
    <w:p>
      <w:pPr>
        <w:pStyle w:val="Contedodatabela"/>
        <w:jc w:val="both"/>
        <w:rPr>
          <w:rFonts w:ascii="Bookman Old Style" w:hAnsi="Bookman Old Style" w:eastAsia="Cambria" w:cs="Cambria" w:cstheme="minorHAnsi" w:eastAsiaTheme="minorHAnsi"/>
          <w:lang w:eastAsia="en-US"/>
        </w:rPr>
      </w:pPr>
      <w:r>
        <w:rPr>
          <w:rFonts w:eastAsia="Cambria" w:cs="Cambria" w:cstheme="minorHAnsi" w:eastAsiaTheme="minorHAnsi" w:ascii="Bookman Old Style" w:hAnsi="Bookman Old Style"/>
          <w:lang w:eastAsia="en-US"/>
        </w:rPr>
      </w:r>
    </w:p>
    <w:p>
      <w:pPr>
        <w:pStyle w:val="Contedodatabela"/>
        <w:jc w:val="both"/>
        <w:rPr>
          <w:rFonts w:ascii="Bookman Old Style" w:hAnsi="Bookman Old Style" w:cs="Arial"/>
          <w:bCs/>
          <w:color w:val="000000"/>
        </w:rPr>
      </w:pPr>
      <w:r>
        <w:rPr>
          <w:rFonts w:cs="Arial" w:ascii="Verdana" w:hAnsi="Verdana"/>
          <w:bCs/>
          <w:color w:val="000000"/>
        </w:rPr>
        <w:t>A presente contratação se funda no dispositivo abaixo descrito:</w:t>
      </w:r>
    </w:p>
    <w:p>
      <w:pPr>
        <w:pStyle w:val="Contedodatabela"/>
        <w:jc w:val="both"/>
        <w:rPr>
          <w:rFonts w:ascii="Bookman Old Style" w:hAnsi="Bookman Old Style" w:cs="Arial"/>
          <w:bCs/>
          <w:color w:val="000000"/>
        </w:rPr>
      </w:pPr>
      <w:r>
        <w:rPr>
          <w:rFonts w:cs="Arial" w:ascii="Bookman Old Style" w:hAnsi="Bookman Old Style"/>
          <w:bCs/>
          <w:color w:val="000000"/>
        </w:rPr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Ttulo1"/>
        <w:tabs>
          <w:tab w:val="clear" w:pos="720"/>
          <w:tab w:val="left" w:pos="142" w:leader="none"/>
          <w:tab w:val="left" w:pos="9073" w:leader="none"/>
        </w:tabs>
        <w:spacing w:before="57" w:after="0"/>
        <w:ind w:left="0" w:hanging="0"/>
        <w:jc w:val="left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2. Do Objeto da Contratação</w:t>
      </w:r>
      <w:r>
        <w:rPr>
          <w:rFonts w:eastAsia="Times New Roman" w:cs="Times New Roman" w:ascii="Verdana" w:hAnsi="Verdana"/>
          <w:b w:val="false"/>
          <w:sz w:val="20"/>
          <w:szCs w:val="20"/>
          <w:shd w:fill="EEECE1" w:val="clear"/>
        </w:rPr>
        <w:tab/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Ttulo1"/>
        <w:tabs>
          <w:tab w:val="clear" w:pos="720"/>
          <w:tab w:val="left" w:pos="142" w:leader="none"/>
          <w:tab w:val="left" w:pos="9073" w:leader="none"/>
        </w:tabs>
        <w:spacing w:before="57" w:after="0"/>
        <w:ind w:left="0" w:hanging="0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3. Da Necessidade/Justificativa da Contratação</w:t>
        <w:tab/>
      </w:r>
    </w:p>
    <w:p>
      <w:pPr>
        <w:pStyle w:val="Normal"/>
        <w:spacing w:before="1"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Ttulo1"/>
        <w:tabs>
          <w:tab w:val="clear" w:pos="720"/>
          <w:tab w:val="left" w:pos="142" w:leader="none"/>
          <w:tab w:val="left" w:pos="9072" w:leader="none"/>
        </w:tabs>
        <w:spacing w:before="57" w:after="0"/>
        <w:ind w:left="0" w:hanging="0"/>
        <w:jc w:val="left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4. Da Especificação Técnica do objeto</w:t>
      </w:r>
    </w:p>
    <w:p>
      <w:pPr>
        <w:pStyle w:val="Ttulo1"/>
        <w:tabs>
          <w:tab w:val="clear" w:pos="720"/>
          <w:tab w:val="left" w:pos="709" w:leader="none"/>
          <w:tab w:val="left" w:pos="9073" w:leader="none"/>
        </w:tabs>
        <w:spacing w:before="57" w:after="0"/>
        <w:ind w:left="0" w:right="1168" w:firstLine="26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Bookman Old Style" w:hAnsi="Bookman Old Style"/>
          <w:b w:val="false"/>
          <w:sz w:val="24"/>
          <w:szCs w:val="24"/>
        </w:rPr>
      </w:r>
    </w:p>
    <w:p>
      <w:pPr>
        <w:pStyle w:val="Ttulo1"/>
        <w:tabs>
          <w:tab w:val="clear" w:pos="720"/>
          <w:tab w:val="left" w:pos="709" w:leader="none"/>
          <w:tab w:val="left" w:pos="9073" w:leader="none"/>
        </w:tabs>
        <w:spacing w:before="57" w:after="0"/>
        <w:ind w:left="0" w:right="1168" w:firstLine="26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5. Dos Requisitos da Contratação</w:t>
      </w:r>
    </w:p>
    <w:p>
      <w:pPr>
        <w:pStyle w:val="Normal"/>
        <w:tabs>
          <w:tab w:val="clear" w:pos="720"/>
          <w:tab w:val="left" w:pos="1108" w:leader="none"/>
        </w:tabs>
        <w:spacing w:before="120" w:after="0"/>
        <w:ind w:right="1190" w:hanging="0"/>
        <w:jc w:val="both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5.1 Da Forma de Solicitação do Objeto: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5.2 Do Prazo para a Entrega do Objeto: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701" w:leader="none"/>
        </w:tabs>
        <w:spacing w:before="120" w:after="0"/>
        <w:contextualSpacing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Do Local e Hora da Entrega do Objeto: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Ttulo1"/>
        <w:tabs>
          <w:tab w:val="clear" w:pos="720"/>
          <w:tab w:val="left" w:pos="1108" w:leader="none"/>
          <w:tab w:val="left" w:pos="9073" w:leader="none"/>
        </w:tabs>
        <w:spacing w:before="57" w:after="0"/>
        <w:ind w:left="0" w:hanging="0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</w:rPr>
      </w:pPr>
      <w:r>
        <w:rPr>
          <w:rFonts w:ascii="Verdana" w:hAnsi="Verdana"/>
          <w:sz w:val="20"/>
          <w:szCs w:val="20"/>
          <w:shd w:fill="EEECE1" w:val="clear"/>
        </w:rPr>
        <w:t>6. Das Quantidades Estimadas</w:t>
      </w:r>
      <w:r>
        <w:rPr>
          <w:rFonts w:eastAsia="Times New Roman" w:cs="Times New Roman" w:ascii="Verdana" w:hAnsi="Verdana"/>
          <w:b w:val="false"/>
          <w:sz w:val="20"/>
          <w:szCs w:val="20"/>
          <w:shd w:fill="EEECE1" w:val="clear"/>
        </w:rPr>
        <w:tab/>
      </w:r>
    </w:p>
    <w:p>
      <w:pPr>
        <w:pStyle w:val="Normal"/>
        <w:tabs>
          <w:tab w:val="clear" w:pos="720"/>
          <w:tab w:val="left" w:pos="930" w:leader="none"/>
        </w:tabs>
        <w:spacing w:before="120" w:after="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Conforme estudo do consumo anterior histórico bem como, considerando o quantitativo solicitado e eventos que impactam na demanda futura, a quantidade para atender a necessidade da Administração segue conforme tabela abaixo:</w:t>
      </w:r>
    </w:p>
    <w:p>
      <w:pPr>
        <w:pStyle w:val="Normal"/>
        <w:tabs>
          <w:tab w:val="clear" w:pos="720"/>
          <w:tab w:val="left" w:pos="284" w:leader="none"/>
        </w:tabs>
        <w:spacing w:before="120" w:after="0"/>
        <w:jc w:val="both"/>
        <w:rPr>
          <w:rFonts w:ascii="Bookman Old Style" w:hAnsi="Bookman Old Style" w:eastAsia="" w:cs="Arial" w:eastAsiaTheme="minorEastAsia"/>
          <w:bCs/>
          <w:i/>
          <w:i/>
          <w:color w:val="FF0000"/>
          <w:sz w:val="20"/>
          <w:szCs w:val="20"/>
        </w:rPr>
      </w:pPr>
      <w:r>
        <w:rPr>
          <w:rFonts w:eastAsia="" w:cs="Arial" w:eastAsiaTheme="minorEastAsia" w:ascii="Bookman Old Style" w:hAnsi="Bookman Old Style"/>
          <w:bCs/>
          <w:i/>
          <w:color w:val="FF0000"/>
          <w:sz w:val="20"/>
          <w:szCs w:val="20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76" w:leader="none"/>
          <w:tab w:val="left" w:pos="9073" w:leader="none"/>
        </w:tabs>
        <w:spacing w:before="57" w:after="0"/>
        <w:ind w:left="2160" w:right="1168" w:hanging="0"/>
        <w:rPr>
          <w:rFonts w:ascii="Bookman Old Style" w:hAnsi="Bookman Old Style"/>
          <w:b w:val="false"/>
          <w:b w:val="false"/>
          <w:color w:val="000000"/>
          <w:sz w:val="24"/>
          <w:szCs w:val="24"/>
        </w:rPr>
      </w:pPr>
      <w:r>
        <w:rPr>
          <w:rFonts w:ascii="Bookman Old Style" w:hAnsi="Bookman Old Style"/>
          <w:b w:val="false"/>
          <w:color w:val="000000"/>
          <w:sz w:val="24"/>
          <w:szCs w:val="24"/>
        </w:rPr>
      </w:r>
    </w:p>
    <w:p>
      <w:pPr>
        <w:pStyle w:val="Ttulo1"/>
        <w:tabs>
          <w:tab w:val="clear" w:pos="720"/>
          <w:tab w:val="left" w:pos="1108" w:leader="none"/>
          <w:tab w:val="left" w:pos="9073" w:leader="none"/>
        </w:tabs>
        <w:ind w:left="0" w:hanging="0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</w:rPr>
      </w:pPr>
      <w:r>
        <w:rPr>
          <w:rFonts w:ascii="Verdana" w:hAnsi="Verdana"/>
          <w:sz w:val="20"/>
          <w:szCs w:val="20"/>
          <w:shd w:fill="EEECE1" w:val="clear"/>
        </w:rPr>
        <w:t>7. Da Estimativa do Valor da Contratação</w:t>
      </w:r>
      <w:r>
        <w:rPr>
          <w:rFonts w:eastAsia="Times New Roman" w:cs="Times New Roman" w:ascii="Verdana" w:hAnsi="Verdana"/>
          <w:b w:val="false"/>
          <w:sz w:val="20"/>
          <w:szCs w:val="20"/>
          <w:shd w:fill="EEECE1" w:val="clear"/>
        </w:rPr>
        <w:tab/>
      </w:r>
    </w:p>
    <w:p>
      <w:pPr>
        <w:pStyle w:val="Normal"/>
        <w:tabs>
          <w:tab w:val="clear" w:pos="720"/>
          <w:tab w:val="left" w:pos="930" w:leader="none"/>
        </w:tabs>
        <w:spacing w:before="120" w:after="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Conforme levantamento inicial de preços e mapa comparativo abaixo, demonstramos o valor aproximado da contratação, cujo valor final do orçamento será confirmado e complementado em pesquisa formalizada, nos moldes legais, pelo setor competente.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before="120" w:after="0"/>
        <w:ind w:left="0" w:hanging="0"/>
        <w:contextualSpacing/>
        <w:jc w:val="both"/>
        <w:rPr>
          <w:rFonts w:ascii="Bookman Old Style" w:hAnsi="Bookman Old Style" w:eastAsia="" w:cs="Arial" w:eastAsiaTheme="minorEastAsia"/>
          <w:bCs/>
          <w:i/>
          <w:i/>
          <w:color w:val="FF0000"/>
          <w:sz w:val="20"/>
          <w:szCs w:val="20"/>
        </w:rPr>
      </w:pPr>
      <w:r>
        <w:rPr>
          <w:rFonts w:eastAsia="" w:cs="Arial" w:eastAsiaTheme="minorEastAsia" w:ascii="Bookman Old Style" w:hAnsi="Bookman Old Style"/>
          <w:bCs/>
          <w:i/>
          <w:color w:val="FF0000"/>
          <w:sz w:val="20"/>
          <w:szCs w:val="20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95" w:leader="none"/>
                <w:tab w:val="left" w:pos="426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8. DO GERENCIAMENTO DE RISCOS</w:t>
            </w:r>
          </w:p>
        </w:tc>
      </w:tr>
    </w:tbl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cstheme="minorHAnsi" w:ascii="Bookman Old Style" w:hAnsi="Bookman Old Style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 xml:space="preserve">( ) Os riscos ordinários, comuns a toda contratação, a exemplo da possibilidade de entrega do objeto fora das especificações técnicas pertinentes ou fora do prazo, não serão pontuados na presente análise de riscos, porquanto se encontram previstos no </w:t>
      </w:r>
      <w:r>
        <w:rPr>
          <w:rFonts w:cs="Cambria" w:ascii="Verdana" w:hAnsi="Verdana" w:cstheme="minorHAnsi"/>
          <w:u w:val="single"/>
        </w:rPr>
        <w:t xml:space="preserve">plano básico de fiscalização </w:t>
      </w:r>
      <w:r>
        <w:rPr>
          <w:rFonts w:cs="Cambria" w:ascii="Verdana" w:hAnsi="Verdana" w:cstheme="minorHAnsi"/>
        </w:rPr>
        <w:t>e a equipe não identificou outros riscos que mereçam ora ser pontuados.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  )  o presente estudo identificou os riscos abaixo relacionados:</w:t>
      </w:r>
    </w:p>
    <w:p>
      <w:pPr>
        <w:pStyle w:val="Normal"/>
        <w:tabs>
          <w:tab w:val="clear" w:pos="720"/>
          <w:tab w:val="left" w:pos="258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Bookman Old Style" w:hAnsi="Bookman Old Style"/>
          <w:szCs w:val="20"/>
        </w:rPr>
      </w:r>
    </w:p>
    <w:tbl>
      <w:tblPr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4535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Bookman Old Style" w:hAnsi="Bookman Old Style" w:cs="Arial"/>
                <w:b/>
                <w:b/>
                <w:sz w:val="16"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RISCOS IDENTIFICADOS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Bookman Old Style" w:hAnsi="Bookman Old Style" w:cs="Arial"/>
                <w:b/>
                <w:b/>
                <w:sz w:val="16"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MEDIDAS MITIGADORAS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  <w:tr>
        <w:trPr>
          <w:trHeight w:val="291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lang w:eastAsia="en-US"/>
        </w:rPr>
      </w:pPr>
      <w:r>
        <w:rPr>
          <w:rFonts w:cs="Arial" w:ascii="Bookman Old Style" w:hAnsi="Bookman Old Style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8.1 Plano básico de fiscalização: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i/>
          <w:i/>
          <w:color w:val="FF0000"/>
        </w:rPr>
      </w:pPr>
      <w:r>
        <w:rPr>
          <w:rFonts w:cs="Arial" w:ascii="Bookman Old Style" w:hAnsi="Bookman Old Style"/>
          <w:i/>
          <w:color w:val="FF0000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i/>
          <w:i/>
          <w:color w:val="FF0000"/>
        </w:rPr>
      </w:pPr>
      <w:r>
        <w:rPr>
          <w:rFonts w:cs="Arial" w:ascii="Bookman Old Style" w:hAnsi="Bookman Old Style"/>
          <w:i/>
          <w:color w:val="FF0000"/>
        </w:rPr>
      </w:r>
    </w:p>
    <w:p>
      <w:pPr>
        <w:pStyle w:val="Normal"/>
        <w:shd w:val="clear" w:color="auto" w:fill="BFBFBF"/>
        <w:tabs>
          <w:tab w:val="clear" w:pos="720"/>
          <w:tab w:val="left" w:pos="0" w:leader="none"/>
        </w:tabs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9. DA RAZÃO DA ESCOLHA DO FORNECEDOR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eastAsia="Cambria" w:cs="Arial" w:eastAsiaTheme="minorHAnsi"/>
          <w:sz w:val="24"/>
          <w:szCs w:val="24"/>
        </w:rPr>
      </w:pPr>
      <w:r>
        <w:rPr>
          <w:rFonts w:cs="Arial" w:ascii="Verdana" w:hAnsi="Verdana"/>
          <w:sz w:val="20"/>
          <w:szCs w:val="20"/>
        </w:rPr>
        <w:t>(     ) Não se aplica – artigo 75, I e II da Lei 14.133.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Verdana" w:hAnsi="Verdana"/>
          <w:sz w:val="20"/>
          <w:szCs w:val="20"/>
        </w:rPr>
        <w:t>(     ) Justificativa abaixo: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Verdana" w:hAnsi="Verdana"/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Verdana" w:hAnsi="Verdana"/>
          <w:sz w:val="20"/>
          <w:szCs w:val="20"/>
        </w:rPr>
        <w:t>___________________________________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Verdana" w:hAnsi="Verdana"/>
          <w:sz w:val="20"/>
          <w:szCs w:val="20"/>
        </w:rPr>
        <w:t>___________________________________.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62"/>
      </w:tblGrid>
      <w:tr>
        <w:trPr/>
        <w:tc>
          <w:tcPr>
            <w:tcW w:w="9262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450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  <w:t>10. DA DECLARAÇÃO DA VIABILIDADE (OU NÃO) DA CONTRATAÇÃO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lang w:eastAsia="en-US"/>
        </w:rPr>
      </w:pPr>
      <w:r>
        <w:rPr>
          <w:rFonts w:cs="Arial" w:ascii="Bookman Old Style" w:hAnsi="Bookman Old Style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Verdana" w:hAnsi="Verdana"/>
          <w:sz w:val="20"/>
          <w:szCs w:val="20"/>
        </w:rPr>
        <w:t>(    ) Concordo com o estudo técnico realizado e autorizo a contratação nos termos declarados pela equipe de planejamento.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Arial" w:hAnsi="Arial" w:cs="Arial"/>
          <w:szCs w:val="20"/>
        </w:rPr>
      </w:pPr>
      <w:r>
        <w:rPr>
          <w:rFonts w:cs="Arial" w:ascii="Verdana" w:hAnsi="Verdana"/>
          <w:sz w:val="20"/>
          <w:szCs w:val="20"/>
        </w:rPr>
        <w:t>(    ) Concordo com os estudos técnicos realizados, acato a inviabilidade indicada e determino o arquivamento do feito.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9498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51"/>
        <w:gridCol w:w="5146"/>
      </w:tblGrid>
      <w:tr>
        <w:trPr>
          <w:trHeight w:val="434" w:hRule="atLeast"/>
        </w:trPr>
        <w:tc>
          <w:tcPr>
            <w:tcW w:w="9497" w:type="dxa"/>
            <w:gridSpan w:val="2"/>
            <w:tcBorders/>
            <w:shd w:color="auto" w:fill="BFBFBF" w:val="clear"/>
          </w:tcPr>
          <w:p>
            <w:pPr>
              <w:pStyle w:val="Normal"/>
              <w:widowControl w:val="false"/>
              <w:spacing w:before="57" w:after="0"/>
              <w:ind w:left="142" w:right="2586" w:hanging="0"/>
              <w:jc w:val="both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11. Responsáveis pela elaboração dos ETP</w:t>
            </w:r>
          </w:p>
        </w:tc>
      </w:tr>
      <w:tr>
        <w:trPr>
          <w:trHeight w:val="422" w:hRule="atLeast"/>
        </w:trPr>
        <w:tc>
          <w:tcPr>
            <w:tcW w:w="4351" w:type="dxa"/>
            <w:tcBorders>
              <w:top w:val="single" w:sz="4" w:space="0" w:color="BFBFBF"/>
              <w:lef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2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146" w:type="dxa"/>
            <w:tcBorders>
              <w:top w:val="single" w:sz="4" w:space="0" w:color="BFBFBF"/>
              <w:righ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2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Matrícula:</w:t>
            </w:r>
          </w:p>
        </w:tc>
      </w:tr>
      <w:tr>
        <w:trPr>
          <w:trHeight w:val="226" w:hRule="atLeast"/>
        </w:trPr>
        <w:tc>
          <w:tcPr>
            <w:tcW w:w="4351" w:type="dxa"/>
            <w:tcBorders>
              <w:left w:val="single" w:sz="4" w:space="0" w:color="BFBFBF"/>
              <w:bottom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5146" w:type="dxa"/>
            <w:tcBorders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4351" w:type="dxa"/>
            <w:tcBorders>
              <w:top w:val="single" w:sz="4" w:space="0" w:color="BFBFBF"/>
              <w:lef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6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146" w:type="dxa"/>
            <w:tcBorders>
              <w:top w:val="single" w:sz="4" w:space="0" w:color="BFBFBF"/>
              <w:righ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6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Matrícula:</w:t>
            </w:r>
          </w:p>
        </w:tc>
      </w:tr>
      <w:tr>
        <w:trPr>
          <w:trHeight w:val="429" w:hRule="atLeast"/>
        </w:trPr>
        <w:tc>
          <w:tcPr>
            <w:tcW w:w="4351" w:type="dxa"/>
            <w:tcBorders>
              <w:left w:val="single" w:sz="4" w:space="0" w:color="BFBFBF"/>
              <w:bottom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5146" w:type="dxa"/>
            <w:tcBorders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9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pacing w:before="57" w:after="0"/>
        <w:ind w:right="1190" w:firstLine="72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Local e data</w:t>
      </w:r>
    </w:p>
    <w:p>
      <w:pPr>
        <w:sectPr>
          <w:type w:val="continuous"/>
          <w:pgSz w:w="11906" w:h="16838"/>
          <w:pgMar w:left="1160" w:right="1694" w:gutter="0" w:header="0" w:top="660" w:footer="1484" w:bottom="168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18"/>
        <w:ind w:left="1276" w:right="1168" w:hanging="709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09" w:hRule="atLeast"/>
        </w:trPr>
        <w:tc>
          <w:tcPr>
            <w:tcW w:w="946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435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12. CIÊNCIA DA AUTORIDADE COMPETENTE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jc w:val="both"/>
        <w:rPr>
          <w:rFonts w:ascii="Arial" w:hAnsi="Arial" w:cs="Arial"/>
          <w:szCs w:val="20"/>
          <w:lang w:eastAsia="en-US"/>
        </w:rPr>
      </w:pPr>
      <w:r>
        <w:rPr>
          <w:rFonts w:cs="Arial" w:ascii="Arial" w:hAnsi="Arial"/>
          <w:szCs w:val="20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Verdana" w:hAnsi="Verdana"/>
          <w:sz w:val="20"/>
          <w:szCs w:val="20"/>
        </w:rPr>
        <w:t>(    ) Concordo com o estudo técnico realizado e autorizo a contratação nos termos declarados pela equipe de planejamento.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Verdana" w:hAnsi="Verdana"/>
          <w:sz w:val="20"/>
          <w:szCs w:val="20"/>
        </w:rPr>
        <w:t>(    ) Concordo com os estudos técnicos realizados, acato a inviabilidade indicada e determino o arquivamento do feito.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cs="Arial" w:ascii="Verdana" w:hAnsi="Verdana"/>
          <w:sz w:val="20"/>
          <w:szCs w:val="20"/>
        </w:rPr>
        <w:t>Corumbá/MS, ___/___/___.</w:t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93" w:leader="none"/>
        </w:tabs>
        <w:spacing w:lineRule="auto" w:line="218" w:before="8" w:after="0"/>
        <w:ind w:right="202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/>
      </w:r>
    </w:p>
    <w:sectPr>
      <w:type w:val="continuous"/>
      <w:pgSz w:w="11906" w:h="16838"/>
      <w:pgMar w:left="1160" w:right="1694" w:gutter="0" w:header="0" w:top="660" w:footer="1484" w:bottom="1680"/>
      <w:cols w:num="2" w:equalWidth="false" w:sep="false">
        <w:col w:w="8998" w:space="2"/>
        <w:col w:w="51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jc w:val="center"/>
      <w:rPr>
        <w:rFonts w:ascii="Arial" w:hAnsi="Arial" w:cs="Arial"/>
        <w:b/>
        <w:b/>
        <w:color w:val="000000"/>
        <w:sz w:val="22"/>
        <w:szCs w:val="22"/>
      </w:rPr>
    </w:pPr>
    <w:r>
      <w:rPr>
        <w:rFonts w:cs="Arial" w:ascii="Arial" w:hAnsi="Arial"/>
        <w:b/>
        <w:color w:val="000000"/>
        <w:sz w:val="22"/>
        <w:szCs w:val="22"/>
      </w:rPr>
    </w:r>
  </w:p>
  <w:p>
    <w:pPr>
      <w:pStyle w:val="Cabealho"/>
      <w:jc w:val="right"/>
      <w:rPr>
        <w:b/>
        <w:b/>
      </w:rPr>
    </w:pPr>
    <w:r>
      <w:rPr>
        <w:b/>
      </w:rPr>
    </w:r>
  </w:p>
  <w:p>
    <w:pPr>
      <w:pStyle w:val="Cabealho"/>
      <w:jc w:val="right"/>
      <w:rPr>
        <w:b/>
        <w:b/>
      </w:rPr>
    </w:pPr>
    <w:r>
      <w:rPr>
        <w:b/>
      </w:rPr>
      <w:t xml:space="preserve">                                                             </w:t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0896C14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4891405" cy="609600"/>
              <wp:effectExtent l="0" t="0" r="0" b="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1320" cy="60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PREFEITURA MUNICIPAL DE CORUMBÁ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SECRETARIA MUNICIPAL DE GESTÃO E PLANEJAMENTO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72pt;margin-top:7.75pt;width:385.1pt;height:47.95pt;mso-wrap-style:square;v-text-anchor:top" wp14:anchorId="0896C14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Verdana" w:hAnsi="Verdana"/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PREFEITURA MUNICIPAL DE CORUMBÁ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SECRETARIA MUNICIPAL DE GESTÃO E PLANEJAMENTO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t xml:space="preserve">     </w:t>
    </w:r>
    <w:r>
      <w:drawing>
        <wp:anchor behindDoc="0" distT="0" distB="0" distL="114300" distR="114300" simplePos="0" locked="0" layoutInCell="0" allowOverlap="1" relativeHeight="13">
          <wp:simplePos x="0" y="0"/>
          <wp:positionH relativeFrom="column">
            <wp:posOffset>171450</wp:posOffset>
          </wp:positionH>
          <wp:positionV relativeFrom="paragraph">
            <wp:posOffset>110490</wp:posOffset>
          </wp:positionV>
          <wp:extent cx="686435" cy="640715"/>
          <wp:effectExtent l="0" t="0" r="0" b="0"/>
          <wp:wrapTight wrapText="bothSides">
            <wp:wrapPolygon edited="0">
              <wp:start x="-759" y="0"/>
              <wp:lineTo x="-759" y="20714"/>
              <wp:lineTo x="21165" y="20714"/>
              <wp:lineTo x="21165" y="0"/>
              <wp:lineTo x="-759" y="0"/>
            </wp:wrapPolygon>
          </wp:wrapTight>
          <wp:docPr id="3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ontedodoquadr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/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qFormat/>
    <w:pPr>
      <w:spacing w:before="56" w:after="0"/>
      <w:ind w:left="1108" w:hanging="567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6763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sid w:val="004a13e8"/>
    <w:rPr/>
  </w:style>
  <w:style w:type="character" w:styleId="RodapChar" w:customStyle="1">
    <w:name w:val="Rodapé Char"/>
    <w:basedOn w:val="DefaultParagraphFont"/>
    <w:uiPriority w:val="99"/>
    <w:qFormat/>
    <w:rsid w:val="004a13e8"/>
    <w:rPr/>
  </w:style>
  <w:style w:type="character" w:styleId="PargrafodaListaChar" w:customStyle="1">
    <w:name w:val="Parágrafo da Lista Char"/>
    <w:link w:val="ListParagraph"/>
    <w:uiPriority w:val="34"/>
    <w:qFormat/>
    <w:locked/>
    <w:rsid w:val="00862329"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PargrafodaListaChar"/>
    <w:uiPriority w:val="34"/>
    <w:qFormat/>
    <w:rsid w:val="006d141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519c8"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a519c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7630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e362b8"/>
    <w:pPr>
      <w:widowControl/>
    </w:pPr>
    <w:rPr>
      <w:rFonts w:ascii="Times New Roman" w:hAnsi="Times New Roman" w:eastAsia="MS Mincho" w:cs="Times New Roman"/>
      <w:sz w:val="20"/>
      <w:szCs w:val="20"/>
      <w:lang w:val="pt-BR"/>
    </w:rPr>
  </w:style>
  <w:style w:type="paragraph" w:styleId="Texto" w:customStyle="1">
    <w:name w:val="texto"/>
    <w:qFormat/>
    <w:rsid w:val="00553556"/>
    <w:pPr>
      <w:widowControl/>
      <w:tabs>
        <w:tab w:val="clear" w:pos="720"/>
        <w:tab w:val="left" w:pos="878" w:leader="none"/>
        <w:tab w:val="left" w:pos="1586" w:leader="none"/>
        <w:tab w:val="left" w:pos="2294" w:leader="none"/>
        <w:tab w:val="left" w:pos="3002" w:leader="none"/>
        <w:tab w:val="left" w:pos="3710" w:leader="none"/>
        <w:tab w:val="left" w:pos="4418" w:leader="none"/>
        <w:tab w:val="left" w:pos="5126" w:leader="none"/>
        <w:tab w:val="left" w:pos="5834" w:leader="none"/>
        <w:tab w:val="left" w:pos="6542" w:leader="none"/>
        <w:tab w:val="left" w:pos="7250" w:leader="none"/>
        <w:tab w:val="left" w:pos="7958" w:leader="none"/>
        <w:tab w:val="left" w:pos="8666" w:leader="none"/>
        <w:tab w:val="left" w:pos="9374" w:leader="none"/>
        <w:tab w:val="left" w:pos="10082" w:leader="none"/>
        <w:tab w:val="left" w:pos="10790" w:leader="none"/>
        <w:tab w:val="left" w:pos="11498" w:leader="none"/>
        <w:tab w:val="left" w:pos="12206" w:leader="none"/>
        <w:tab w:val="left" w:pos="12914" w:leader="none"/>
        <w:tab w:val="left" w:pos="13622" w:leader="none"/>
        <w:tab w:val="left" w:pos="14330" w:leader="none"/>
        <w:tab w:val="left" w:pos="15038" w:leader="none"/>
        <w:tab w:val="left" w:pos="15746" w:leader="none"/>
        <w:tab w:val="left" w:pos="16454" w:leader="none"/>
        <w:tab w:val="left" w:pos="17162" w:leader="none"/>
        <w:tab w:val="left" w:pos="17870" w:leader="none"/>
        <w:tab w:val="left" w:pos="18578" w:leader="none"/>
        <w:tab w:val="left" w:pos="19286" w:leader="none"/>
        <w:tab w:val="left" w:pos="19994" w:leader="none"/>
        <w:tab w:val="left" w:pos="20702" w:leader="none"/>
        <w:tab w:val="left" w:pos="21410" w:leader="none"/>
        <w:tab w:val="left" w:pos="22118" w:leader="none"/>
        <w:tab w:val="left" w:pos="22826" w:leader="none"/>
        <w:tab w:val="left" w:pos="23534" w:leader="none"/>
        <w:tab w:val="left" w:pos="24242" w:leader="none"/>
        <w:tab w:val="left" w:pos="24950" w:leader="none"/>
        <w:tab w:val="left" w:pos="25658" w:leader="none"/>
        <w:tab w:val="left" w:pos="26366" w:leader="none"/>
        <w:tab w:val="left" w:pos="27074" w:leader="none"/>
        <w:tab w:val="left" w:pos="27782" w:leader="none"/>
        <w:tab w:val="left" w:pos="28490" w:leader="none"/>
      </w:tabs>
      <w:suppressAutoHyphens w:val="true"/>
      <w:bidi w:val="0"/>
      <w:spacing w:lineRule="atLeast" w:line="240" w:before="0" w:after="0"/>
      <w:ind w:left="170" w:hanging="17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c121f1"/>
    <w:pPr>
      <w:widowControl/>
      <w:suppressLineNumbers/>
      <w:suppressAutoHyphens w:val="true"/>
    </w:pPr>
    <w:rPr>
      <w:rFonts w:ascii="Times New Roman" w:hAnsi="Times New Roman" w:eastAsia="Times New Roman" w:cs="Times New Roman"/>
      <w:sz w:val="20"/>
      <w:szCs w:val="20"/>
      <w:lang w:val="pt-BR" w:eastAsia="zh-C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62329"/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69C0-E959-4AB1-9C32-32A10E8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LibreOffice/7.3.1.3$Windows_X86_64 LibreOffice_project/a69ca51ded25f3eefd52d7bf9a5fad8c90b87951</Application>
  <AppVersion>15.0000</AppVersion>
  <Pages>4</Pages>
  <Words>718</Words>
  <Characters>4074</Characters>
  <CharactersWithSpaces>4849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2022-06-09T16:01:00Z</dcterms:created>
  <dc:creator>Diego Mota</dc:creator>
  <dc:description/>
  <dc:language>pt-BR</dc:language>
  <cp:lastModifiedBy/>
  <cp:lastPrinted>2022-06-28T10:51:50Z</cp:lastPrinted>
  <dcterms:modified xsi:type="dcterms:W3CDTF">2022-09-09T11:51:07Z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